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1078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Масленникова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2023 год до 24 часов 00 минут 25.03.2024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</w:rPr>
        <w:t>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 xml:space="preserve">Масленникову М.О. </w:t>
      </w:r>
      <w:r>
        <w:rPr>
          <w:rFonts w:ascii="Times New Roman" w:eastAsia="Times New Roman" w:hAnsi="Times New Roman" w:cs="Times New Roman"/>
        </w:rPr>
        <w:t xml:space="preserve">предупреждения, так как обязанность по предоставлению </w:t>
      </w:r>
      <w:r>
        <w:rPr>
          <w:rFonts w:ascii="Times New Roman" w:eastAsia="Times New Roman" w:hAnsi="Times New Roman" w:cs="Times New Roman"/>
        </w:rPr>
        <w:t xml:space="preserve">декларации </w:t>
      </w:r>
      <w:r>
        <w:rPr>
          <w:rFonts w:ascii="Times New Roman" w:eastAsia="Times New Roman" w:hAnsi="Times New Roman" w:cs="Times New Roman"/>
        </w:rPr>
        <w:t xml:space="preserve">по налогу, уплачиваемому в связи с применением упрощенной системы налогообложения за 2023 год </w:t>
      </w:r>
      <w:r>
        <w:rPr>
          <w:rFonts w:ascii="Times New Roman" w:eastAsia="Times New Roman" w:hAnsi="Times New Roman" w:cs="Times New Roman"/>
        </w:rPr>
        <w:t>не исполнена и на момент составления протокола об адм</w:t>
      </w:r>
      <w:r>
        <w:rPr>
          <w:rFonts w:ascii="Times New Roman" w:eastAsia="Times New Roman" w:hAnsi="Times New Roman" w:cs="Times New Roman"/>
        </w:rPr>
        <w:t>инистративном правонарушении (20</w:t>
      </w:r>
      <w:r>
        <w:rPr>
          <w:rFonts w:ascii="Times New Roman" w:eastAsia="Times New Roman" w:hAnsi="Times New Roman" w:cs="Times New Roman"/>
        </w:rPr>
        <w:t>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0412365400725010782415180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656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76E8-2141-4AA3-B33E-29FD54C900C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